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tabs>
          <w:tab w:val="left" w:leader="none" w:pos="1701"/>
          <w:tab w:val="right" w:leader="none" w:pos="9639"/>
        </w:tabs>
        <w:spacing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3GPP TSG RAN WG2#128</w:t>
        <w:tab/>
        <w:t xml:space="preserve">R2-2410785</w:t>
      </w:r>
    </w:p>
    <w:p w:rsidR="00000000" w:rsidDel="00000000" w:rsidP="00000000" w:rsidRDefault="00000000" w:rsidRPr="00000000" w14:paraId="00000002">
      <w:pPr>
        <w:tabs>
          <w:tab w:val="left" w:leader="none" w:pos="1701"/>
          <w:tab w:val="right" w:leader="none" w:pos="9639"/>
        </w:tabs>
        <w:spacing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Orlando, USA, 18th - 22nd November 2024</w:t>
      </w:r>
    </w:p>
    <w:p w:rsidR="00000000" w:rsidDel="00000000" w:rsidP="00000000" w:rsidRDefault="00000000" w:rsidRPr="00000000" w14:paraId="00000003">
      <w:pPr>
        <w:tabs>
          <w:tab w:val="left" w:leader="none" w:pos="1701"/>
          <w:tab w:val="right" w:leader="none" w:pos="9639"/>
        </w:tabs>
        <w:spacing w:after="60" w:line="288"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4">
      <w:pPr>
        <w:tabs>
          <w:tab w:val="left" w:leader="none" w:pos="1701"/>
          <w:tab w:val="right" w:leader="none" w:pos="9639"/>
        </w:tabs>
        <w:spacing w:after="60"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Agenda Item:</w:t>
        <w:tab/>
        <w:t xml:space="preserve">8.7.4.2 </w:t>
      </w:r>
    </w:p>
    <w:p w:rsidR="00000000" w:rsidDel="00000000" w:rsidP="00000000" w:rsidRDefault="00000000" w:rsidRPr="00000000" w14:paraId="00000005">
      <w:pPr>
        <w:tabs>
          <w:tab w:val="left" w:leader="none" w:pos="1701"/>
          <w:tab w:val="right" w:leader="none" w:pos="9639"/>
        </w:tabs>
        <w:spacing w:after="60"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Source: </w:t>
        <w:tab/>
        <w:t xml:space="preserve">Meta</w:t>
      </w:r>
    </w:p>
    <w:p w:rsidR="00000000" w:rsidDel="00000000" w:rsidP="00000000" w:rsidRDefault="00000000" w:rsidRPr="00000000" w14:paraId="00000006">
      <w:pPr>
        <w:tabs>
          <w:tab w:val="left" w:leader="none" w:pos="1701"/>
          <w:tab w:val="right" w:leader="none" w:pos="9639"/>
        </w:tabs>
        <w:spacing w:after="60"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Title:  </w:t>
        <w:tab/>
        <w:t xml:space="preserve">Discussion on DSR Enhancements</w:t>
      </w:r>
    </w:p>
    <w:p w:rsidR="00000000" w:rsidDel="00000000" w:rsidP="00000000" w:rsidRDefault="00000000" w:rsidRPr="00000000" w14:paraId="00000007">
      <w:pPr>
        <w:tabs>
          <w:tab w:val="left" w:leader="none" w:pos="1701"/>
          <w:tab w:val="right" w:leader="none" w:pos="9639"/>
        </w:tabs>
        <w:spacing w:after="60"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Document for:</w:t>
        <w:tab/>
        <w:t xml:space="preserve">Discussion and Decision</w:t>
      </w:r>
    </w:p>
    <w:p w:rsidR="00000000" w:rsidDel="00000000" w:rsidP="00000000" w:rsidRDefault="00000000" w:rsidRPr="00000000" w14:paraId="00000008">
      <w:pPr>
        <w:pStyle w:val="Heading1"/>
        <w:numPr>
          <w:ilvl w:val="0"/>
          <w:numId w:val="3"/>
        </w:numPr>
        <w:pBdr>
          <w:top w:color="000000" w:space="3" w:sz="12" w:val="single"/>
        </w:pBdr>
        <w:spacing w:after="180" w:before="240" w:line="240" w:lineRule="auto"/>
        <w:ind w:left="432" w:hanging="432"/>
        <w:rPr>
          <w:rFonts w:ascii="Times New Roman" w:cs="Times New Roman" w:eastAsia="Times New Roman" w:hAnsi="Times New Roman"/>
          <w:b w:val="1"/>
          <w:sz w:val="24"/>
          <w:szCs w:val="24"/>
        </w:rPr>
      </w:pPr>
      <w:bookmarkStart w:colFirst="0" w:colLast="0" w:name="_heading=h.1fob9te" w:id="0"/>
      <w:bookmarkEnd w:id="0"/>
      <w:r w:rsidDel="00000000" w:rsidR="00000000" w:rsidRPr="00000000">
        <w:rPr>
          <w:rFonts w:ascii="Times New Roman" w:cs="Times New Roman" w:eastAsia="Times New Roman" w:hAnsi="Times New Roman"/>
          <w:b w:val="1"/>
          <w:sz w:val="24"/>
          <w:szCs w:val="24"/>
          <w:rtl w:val="0"/>
        </w:rPr>
        <w:t xml:space="preserve">Introduction</w:t>
      </w:r>
    </w:p>
    <w:p w:rsidR="00000000" w:rsidDel="00000000" w:rsidP="00000000" w:rsidRDefault="00000000" w:rsidRPr="00000000" w14:paraId="0000000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the Revised WID on XR (eXtended Reality) for NR Phase 3, one of the objectives is to specify enhancements for scheduling [1]: </w:t>
      </w:r>
    </w:p>
    <w:p w:rsidR="00000000" w:rsidDel="00000000" w:rsidP="00000000" w:rsidRDefault="00000000" w:rsidRPr="00000000" w14:paraId="0000000A">
      <w:pPr>
        <w:rPr>
          <w:rFonts w:ascii="Times New Roman" w:cs="Times New Roman" w:eastAsia="Times New Roman" w:hAnsi="Times New Roman"/>
          <w:sz w:val="24"/>
          <w:szCs w:val="24"/>
        </w:rPr>
      </w:pPr>
      <w:r w:rsidDel="00000000" w:rsidR="00000000" w:rsidRPr="00000000">
        <w:rPr>
          <w:rtl w:val="0"/>
        </w:rPr>
      </w:r>
    </w:p>
    <w:tbl>
      <w:tblPr>
        <w:tblStyle w:val="Table1"/>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50"/>
        <w:tblGridChange w:id="0">
          <w:tblGrid>
            <w:gridCol w:w="9350"/>
          </w:tblGrid>
        </w:tblGridChange>
      </w:tblGrid>
      <w:tr>
        <w:trPr>
          <w:cantSplit w:val="0"/>
          <w:tblHeader w:val="0"/>
        </w:trPr>
        <w:tc>
          <w:tcPr/>
          <w:p w:rsidR="00000000" w:rsidDel="00000000" w:rsidP="00000000" w:rsidRDefault="00000000" w:rsidRPr="00000000" w14:paraId="0000000B">
            <w:pPr>
              <w:numPr>
                <w:ilvl w:val="0"/>
                <w:numId w:val="2"/>
              </w:numPr>
              <w:spacing w:after="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Specify Enhancements for Scheduling, as follows: </w:t>
            </w:r>
          </w:p>
          <w:p w:rsidR="00000000" w:rsidDel="00000000" w:rsidP="00000000" w:rsidRDefault="00000000" w:rsidRPr="00000000" w14:paraId="0000000C">
            <w:pPr>
              <w:numPr>
                <w:ilvl w:val="1"/>
                <w:numId w:val="2"/>
              </w:numPr>
              <w:spacing w:after="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For the UL, Study and if justified, Specify enhancements using delay/deadline information, for support of UL scheduling to enable high XR capacity while meeting delay requirements/avoiding too late PDUs. [RAN2].</w:t>
            </w:r>
          </w:p>
          <w:p w:rsidR="00000000" w:rsidDel="00000000" w:rsidP="00000000" w:rsidRDefault="00000000" w:rsidRPr="00000000" w14:paraId="0000000D">
            <w:pPr>
              <w:numPr>
                <w:ilvl w:val="2"/>
                <w:numId w:val="2"/>
              </w:numPr>
              <w:spacing w:after="0" w:lineRule="auto"/>
              <w:ind w:left="21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Note: LCP implementation complexity need to be taken into account when evaluating solutions.</w:t>
            </w:r>
          </w:p>
          <w:p w:rsidR="00000000" w:rsidDel="00000000" w:rsidP="00000000" w:rsidRDefault="00000000" w:rsidRPr="00000000" w14:paraId="0000000E">
            <w:pPr>
              <w:numPr>
                <w:ilvl w:val="2"/>
                <w:numId w:val="2"/>
              </w:numPr>
              <w:spacing w:after="180" w:lineRule="auto"/>
              <w:ind w:left="21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Note: Check in RAN#105</w:t>
            </w:r>
          </w:p>
        </w:tc>
      </w:tr>
    </w:tbl>
    <w:p w:rsidR="00000000" w:rsidDel="00000000" w:rsidP="00000000" w:rsidRDefault="00000000" w:rsidRPr="00000000" w14:paraId="0000000F">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0">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RAN2 #126-bis meeting, the following agreements were made on DSR enhancements:</w:t>
      </w:r>
    </w:p>
    <w:p w:rsidR="00000000" w:rsidDel="00000000" w:rsidP="00000000" w:rsidRDefault="00000000" w:rsidRPr="00000000" w14:paraId="00000011">
      <w:pPr>
        <w:rPr>
          <w:rFonts w:ascii="Times New Roman" w:cs="Times New Roman" w:eastAsia="Times New Roman" w:hAnsi="Times New Roman"/>
          <w:sz w:val="24"/>
          <w:szCs w:val="24"/>
        </w:rPr>
      </w:pPr>
      <w:r w:rsidDel="00000000" w:rsidR="00000000" w:rsidRPr="00000000">
        <w:rPr>
          <w:rtl w:val="0"/>
        </w:rPr>
      </w:r>
    </w:p>
    <w:tbl>
      <w:tblPr>
        <w:tblStyle w:val="Table2"/>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50"/>
        <w:tblGridChange w:id="0">
          <w:tblGrid>
            <w:gridCol w:w="9350"/>
          </w:tblGrid>
        </w:tblGridChange>
      </w:tblGrid>
      <w:tr>
        <w:trPr>
          <w:cantSplit w:val="0"/>
          <w:tblHeader w:val="0"/>
        </w:trPr>
        <w:tc>
          <w:tcPr/>
          <w:p w:rsidR="00000000" w:rsidDel="00000000" w:rsidP="00000000" w:rsidRDefault="00000000" w:rsidRPr="00000000" w14:paraId="00000012">
            <w:pPr>
              <w:spacing w:after="240" w:befor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Agreements on DSR enhancements</w:t>
            </w:r>
          </w:p>
          <w:p w:rsidR="00000000" w:rsidDel="00000000" w:rsidP="00000000" w:rsidRDefault="00000000" w:rsidRPr="00000000" w14:paraId="00000013">
            <w:pPr>
              <w:numPr>
                <w:ilvl w:val="0"/>
                <w:numId w:val="1"/>
              </w:numPr>
              <w:spacing w:after="0" w:afterAutospacing="0" w:before="24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We do not change the definition of delay-critical data.</w:t>
            </w:r>
          </w:p>
          <w:p w:rsidR="00000000" w:rsidDel="00000000" w:rsidP="00000000" w:rsidRDefault="00000000" w:rsidRPr="00000000" w14:paraId="00000014">
            <w:pPr>
              <w:numPr>
                <w:ilvl w:val="0"/>
                <w:numId w:val="1"/>
              </w:numPr>
              <w:spacing w:after="0" w:afterAutospacing="0" w:before="0" w:beforeAutospacing="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For the sake of RAN2 discussions, we use the following terms: triggering threshold, reporting threshold(s).</w:t>
            </w:r>
          </w:p>
          <w:p w:rsidR="00000000" w:rsidDel="00000000" w:rsidP="00000000" w:rsidRDefault="00000000" w:rsidRPr="00000000" w14:paraId="00000015">
            <w:pPr>
              <w:numPr>
                <w:ilvl w:val="0"/>
                <w:numId w:val="1"/>
              </w:numPr>
              <w:spacing w:after="0" w:afterAutospacing="0" w:before="0" w:beforeAutospacing="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Companies should analyse the impact of setting the triggering threshold to value lower than largest reporting threshold on DSR procedure, e.g. triggering, cancellation etc.</w:t>
            </w:r>
          </w:p>
          <w:p w:rsidR="00000000" w:rsidDel="00000000" w:rsidP="00000000" w:rsidRDefault="00000000" w:rsidRPr="00000000" w14:paraId="00000016">
            <w:pPr>
              <w:numPr>
                <w:ilvl w:val="0"/>
                <w:numId w:val="1"/>
              </w:numPr>
              <w:spacing w:after="0" w:afterAutospacing="0" w:before="0" w:beforeAutospacing="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For Rel-19 DSR, the buffered data is divided into multiple portions based on the multiple reporting time threshold levels configured for an LCG. The Rel-19 DSR indicates the following information for each portion for which BS&gt;0:</w:t>
            </w:r>
          </w:p>
          <w:p w:rsidR="00000000" w:rsidDel="00000000" w:rsidP="00000000" w:rsidRDefault="00000000" w:rsidRPr="00000000" w14:paraId="00000017">
            <w:pPr>
              <w:numPr>
                <w:ilvl w:val="1"/>
                <w:numId w:val="1"/>
              </w:numPr>
              <w:spacing w:after="0" w:afterAutospacing="0" w:before="0" w:beforeAutospacing="0" w:lineRule="auto"/>
              <w:ind w:left="144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sz w:val="24"/>
                <w:szCs w:val="24"/>
                <w:rtl w:val="0"/>
              </w:rPr>
              <w:t xml:space="preserve">Buffer size of data volume in each portion</w:t>
            </w:r>
          </w:p>
          <w:p w:rsidR="00000000" w:rsidDel="00000000" w:rsidP="00000000" w:rsidRDefault="00000000" w:rsidRPr="00000000" w14:paraId="00000018">
            <w:pPr>
              <w:numPr>
                <w:ilvl w:val="1"/>
                <w:numId w:val="1"/>
              </w:numPr>
              <w:spacing w:after="0" w:afterAutospacing="0" w:before="0" w:beforeAutospacing="0" w:lineRule="auto"/>
              <w:ind w:left="144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sz w:val="24"/>
                <w:szCs w:val="24"/>
                <w:rtl w:val="0"/>
              </w:rPr>
              <w:t xml:space="preserve">Shortest remaining time among PDCP SDUs buffered in each portion.</w:t>
            </w:r>
          </w:p>
          <w:p w:rsidR="00000000" w:rsidDel="00000000" w:rsidP="00000000" w:rsidRDefault="00000000" w:rsidRPr="00000000" w14:paraId="00000019">
            <w:pPr>
              <w:numPr>
                <w:ilvl w:val="0"/>
                <w:numId w:val="1"/>
              </w:numPr>
              <w:spacing w:after="0" w:afterAutospacing="0" w:before="0" w:beforeAutospacing="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There is no need to include PSI in the enhanced DSR MAC CE.</w:t>
            </w:r>
          </w:p>
          <w:p w:rsidR="00000000" w:rsidDel="00000000" w:rsidP="00000000" w:rsidRDefault="00000000" w:rsidRPr="00000000" w14:paraId="0000001A">
            <w:pPr>
              <w:numPr>
                <w:ilvl w:val="0"/>
                <w:numId w:val="1"/>
              </w:numPr>
              <w:spacing w:after="0" w:afterAutospacing="0" w:before="0" w:beforeAutospacing="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 one-bit indication may indicate whether a certain/further pair of remaining time information and buffer size information is present in the new DSR MAC CE for the associated LCG.</w:t>
            </w:r>
          </w:p>
          <w:p w:rsidR="00000000" w:rsidDel="00000000" w:rsidP="00000000" w:rsidRDefault="00000000" w:rsidRPr="00000000" w14:paraId="0000001B">
            <w:pPr>
              <w:numPr>
                <w:ilvl w:val="0"/>
                <w:numId w:val="1"/>
              </w:numPr>
              <w:spacing w:after="240" w:before="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FFS whether old and new DSR can be configured/used at the same time or we always use a new DSR in case there is at least one LCG configured with multiple reporting thresholds.</w:t>
            </w:r>
            <w:r w:rsidDel="00000000" w:rsidR="00000000" w:rsidRPr="00000000">
              <w:rPr>
                <w:rtl w:val="0"/>
              </w:rPr>
            </w:r>
          </w:p>
        </w:tc>
      </w:tr>
    </w:tbl>
    <w:p w:rsidR="00000000" w:rsidDel="00000000" w:rsidP="00000000" w:rsidRDefault="00000000" w:rsidRPr="00000000" w14:paraId="0000001C">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D">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this paper, we discuss our views on the DSR enhancements.  </w:t>
      </w:r>
    </w:p>
    <w:p w:rsidR="00000000" w:rsidDel="00000000" w:rsidP="00000000" w:rsidRDefault="00000000" w:rsidRPr="00000000" w14:paraId="0000001E">
      <w:pPr>
        <w:pStyle w:val="Heading1"/>
        <w:numPr>
          <w:ilvl w:val="0"/>
          <w:numId w:val="3"/>
        </w:numPr>
        <w:pBdr>
          <w:top w:color="000000" w:space="3" w:sz="12" w:val="single"/>
        </w:pBdr>
        <w:spacing w:after="180" w:before="240" w:line="240" w:lineRule="auto"/>
        <w:ind w:left="432" w:hanging="432"/>
        <w:rPr>
          <w:rFonts w:ascii="Times New Roman" w:cs="Times New Roman" w:eastAsia="Times New Roman" w:hAnsi="Times New Roman"/>
          <w:b w:val="1"/>
          <w:sz w:val="24"/>
          <w:szCs w:val="24"/>
        </w:rPr>
      </w:pPr>
      <w:bookmarkStart w:colFirst="0" w:colLast="0" w:name="_heading=h.3znysh7" w:id="1"/>
      <w:bookmarkEnd w:id="1"/>
      <w:r w:rsidDel="00000000" w:rsidR="00000000" w:rsidRPr="00000000">
        <w:rPr>
          <w:rFonts w:ascii="Times New Roman" w:cs="Times New Roman" w:eastAsia="Times New Roman" w:hAnsi="Times New Roman"/>
          <w:b w:val="1"/>
          <w:sz w:val="24"/>
          <w:szCs w:val="24"/>
          <w:rtl w:val="0"/>
        </w:rPr>
        <w:t xml:space="preserve">Discussion</w:t>
      </w:r>
    </w:p>
    <w:p w:rsidR="00000000" w:rsidDel="00000000" w:rsidP="00000000" w:rsidRDefault="00000000" w:rsidRPr="00000000" w14:paraId="0000001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Release 18 introduced the Delay Status Report (DSR) to provide feedback on buffered data remaining time when a UE requests uplink resources, allowing gNB to perform delay-aware uplink scheduling. However, a limitation is that when multiple PDU sets in a LCG have different remaining times, only the shortest remaining time below the threshold is reported. To address this, consider enhancing DSR to report remaining time with finer granularity and potentially additional information such as multiple pairs of remaining time and buffer details. Meanwhile, it is important for DSR to avoid introducing excessive signal overhead.</w:t>
      </w:r>
    </w:p>
    <w:p w:rsidR="00000000" w:rsidDel="00000000" w:rsidP="00000000" w:rsidRDefault="00000000" w:rsidRPr="00000000" w14:paraId="00000020">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the RAN2 meeting, the inclusion of non-delay critical data that are in front of the delay critical data in the DSR data volume calculation is discussed. We think this can be addressed by UE implementation and there is no need to include non-delay critical data in the DSR data volume calculation. </w:t>
      </w:r>
    </w:p>
    <w:p w:rsidR="00000000" w:rsidDel="00000000" w:rsidP="00000000" w:rsidRDefault="00000000" w:rsidRPr="00000000" w14:paraId="00000022">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3">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Proposal 1:  No need to include non-delay critical data in the DSR data volume calculation. </w:t>
      </w:r>
    </w:p>
    <w:p w:rsidR="00000000" w:rsidDel="00000000" w:rsidP="00000000" w:rsidRDefault="00000000" w:rsidRPr="00000000" w14:paraId="00000024">
      <w:pPr>
        <w:pStyle w:val="Heading1"/>
        <w:numPr>
          <w:ilvl w:val="0"/>
          <w:numId w:val="3"/>
        </w:numPr>
        <w:pBdr>
          <w:top w:color="000000" w:space="3" w:sz="12" w:val="single"/>
        </w:pBdr>
        <w:spacing w:after="180" w:before="240" w:line="240" w:lineRule="auto"/>
        <w:ind w:left="432" w:hanging="432"/>
        <w:rPr>
          <w:rFonts w:ascii="Times New Roman" w:cs="Times New Roman" w:eastAsia="Times New Roman" w:hAnsi="Times New Roman"/>
          <w:b w:val="1"/>
          <w:sz w:val="24"/>
          <w:szCs w:val="24"/>
        </w:rPr>
      </w:pPr>
      <w:bookmarkStart w:colFirst="0" w:colLast="0" w:name="_heading=h.4d34og8" w:id="2"/>
      <w:bookmarkEnd w:id="2"/>
      <w:r w:rsidDel="00000000" w:rsidR="00000000" w:rsidRPr="00000000">
        <w:rPr>
          <w:rFonts w:ascii="Times New Roman" w:cs="Times New Roman" w:eastAsia="Times New Roman" w:hAnsi="Times New Roman"/>
          <w:b w:val="1"/>
          <w:sz w:val="24"/>
          <w:szCs w:val="24"/>
          <w:rtl w:val="0"/>
        </w:rPr>
        <w:t xml:space="preserve">Conclusion </w:t>
      </w:r>
    </w:p>
    <w:p w:rsidR="00000000" w:rsidDel="00000000" w:rsidP="00000000" w:rsidRDefault="00000000" w:rsidRPr="00000000" w14:paraId="00000025">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this paper, we discuss our views on the DSR enhancements.  </w:t>
      </w:r>
    </w:p>
    <w:p w:rsidR="00000000" w:rsidDel="00000000" w:rsidP="00000000" w:rsidRDefault="00000000" w:rsidRPr="00000000" w14:paraId="00000026">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7">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Proposal 1:  No need to include non-delay critical data in the DSR data volume calculation. </w:t>
      </w:r>
    </w:p>
    <w:p w:rsidR="00000000" w:rsidDel="00000000" w:rsidP="00000000" w:rsidRDefault="00000000" w:rsidRPr="00000000" w14:paraId="00000028">
      <w:pPr>
        <w:pStyle w:val="Heading1"/>
        <w:numPr>
          <w:ilvl w:val="0"/>
          <w:numId w:val="3"/>
        </w:numPr>
        <w:pBdr>
          <w:top w:color="000000" w:space="3" w:sz="12" w:val="single"/>
        </w:pBdr>
        <w:spacing w:after="180" w:before="240" w:line="240" w:lineRule="auto"/>
        <w:ind w:left="432" w:hanging="432"/>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References </w:t>
      </w:r>
    </w:p>
    <w:p w:rsidR="00000000" w:rsidDel="00000000" w:rsidP="00000000" w:rsidRDefault="00000000" w:rsidRPr="00000000" w14:paraId="00000029">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RP-241771, “Revised WID on XR (eXtended Reality) for NR Phase 3” Melbourne, Australia, September 9-12, 2024</w:t>
      </w:r>
    </w:p>
    <w:p w:rsidR="00000000" w:rsidDel="00000000" w:rsidP="00000000" w:rsidRDefault="00000000" w:rsidRPr="00000000" w14:paraId="0000002A">
      <w:pPr>
        <w:rPr>
          <w:rFonts w:ascii="Times New Roman" w:cs="Times New Roman" w:eastAsia="Times New Roman" w:hAnsi="Times New Roman"/>
          <w:sz w:val="24"/>
          <w:szCs w:val="24"/>
        </w:rPr>
      </w:pPr>
      <w:bookmarkStart w:colFirst="0" w:colLast="0" w:name="_heading=h.2et92p0" w:id="3"/>
      <w:bookmarkEnd w:id="3"/>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432" w:hanging="432"/>
      </w:pPr>
      <w:rPr>
        <w:b w:val="1"/>
      </w:rPr>
    </w:lvl>
    <w:lvl w:ilvl="1">
      <w:start w:val="1"/>
      <w:numFmt w:val="decimal"/>
      <w:lvlText w:val="%1.%2"/>
      <w:lvlJc w:val="left"/>
      <w:pPr>
        <w:ind w:left="763"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00"/>
      <w:outlineLvl w:val="0"/>
    </w:pPr>
    <w:rPr>
      <w:sz w:val="40"/>
      <w:szCs w:val="40"/>
    </w:rPr>
  </w:style>
  <w:style w:type="paragraph" w:styleId="Heading2">
    <w:name w:val="heading 2"/>
    <w:basedOn w:val="Normal"/>
    <w:next w:val="Normal"/>
    <w:uiPriority w:val="9"/>
    <w:unhideWhenUsed w:val="1"/>
    <w:qFormat w:val="1"/>
    <w:pPr>
      <w:keepNext w:val="1"/>
      <w:keepLines w:val="1"/>
      <w:spacing w:after="120" w:before="360"/>
      <w:outlineLvl w:val="1"/>
    </w:pPr>
    <w:rPr>
      <w:sz w:val="32"/>
      <w:szCs w:val="32"/>
    </w:rPr>
  </w:style>
  <w:style w:type="paragraph" w:styleId="Heading3">
    <w:name w:val="heading 3"/>
    <w:basedOn w:val="Normal"/>
    <w:next w:val="Normal"/>
    <w:uiPriority w:val="9"/>
    <w:semiHidden w:val="1"/>
    <w:unhideWhenUsed w:val="1"/>
    <w:qFormat w:val="1"/>
    <w:pPr>
      <w:keepNext w:val="1"/>
      <w:keepLines w:val="1"/>
      <w:spacing w:after="80" w:before="320"/>
      <w:outlineLvl w:val="2"/>
    </w:pPr>
    <w:rPr>
      <w:color w:val="434343"/>
      <w:sz w:val="28"/>
      <w:szCs w:val="28"/>
    </w:rPr>
  </w:style>
  <w:style w:type="paragraph" w:styleId="Heading4">
    <w:name w:val="heading 4"/>
    <w:basedOn w:val="Normal"/>
    <w:next w:val="Normal"/>
    <w:uiPriority w:val="9"/>
    <w:semiHidden w:val="1"/>
    <w:unhideWhenUsed w:val="1"/>
    <w:qFormat w:val="1"/>
    <w:pPr>
      <w:keepNext w:val="1"/>
      <w:keepLines w:val="1"/>
      <w:spacing w:after="80" w:before="280"/>
      <w:outlineLvl w:val="3"/>
    </w:pPr>
    <w:rPr>
      <w:color w:val="666666"/>
      <w:sz w:val="24"/>
      <w:szCs w:val="24"/>
    </w:rPr>
  </w:style>
  <w:style w:type="paragraph" w:styleId="Heading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Heading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60"/>
    </w:pPr>
    <w:rPr>
      <w:sz w:val="52"/>
      <w:szCs w:val="52"/>
    </w:rPr>
  </w:style>
  <w:style w:type="paragraph" w:styleId="Subtitle">
    <w:name w:val="Subtitle"/>
    <w:basedOn w:val="Normal"/>
    <w:next w:val="Normal"/>
    <w:uiPriority w:val="11"/>
    <w:qFormat w:val="1"/>
    <w:pPr>
      <w:keepNext w:val="1"/>
      <w:keepLines w:val="1"/>
      <w:spacing w:after="320"/>
    </w:pPr>
    <w:rPr>
      <w:color w:val="666666"/>
      <w:sz w:val="30"/>
      <w:szCs w:val="30"/>
    </w:rPr>
  </w:style>
  <w:style w:type="table" w:styleId="a" w:customStyle="1">
    <w:basedOn w:val="TableNormal"/>
    <w:tblPr>
      <w:tblStyleRowBandSize w:val="1"/>
      <w:tblStyleColBandSize w:val="1"/>
      <w:tblCellMar>
        <w:top w:w="100.0" w:type="dxa"/>
        <w:left w:w="100.0" w:type="dxa"/>
        <w:bottom w:w="100.0" w:type="dxa"/>
        <w:right w:w="100.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table" w:styleId="a1" w:customStyle="1">
    <w:basedOn w:val="TableNormal"/>
    <w:tblPr>
      <w:tblStyleRowBandSize w:val="1"/>
      <w:tblStyleColBandSize w:val="1"/>
      <w:tblCellMar>
        <w:top w:w="100.0" w:type="dxa"/>
        <w:left w:w="100.0" w:type="dxa"/>
        <w:bottom w:w="100.0" w:type="dxa"/>
        <w:right w:w="100.0" w:type="dxa"/>
      </w:tblCellMar>
    </w:tblPr>
  </w:style>
  <w:style w:type="table" w:styleId="a2" w:customStyle="1">
    <w:basedOn w:val="TableNormal"/>
    <w:tblPr>
      <w:tblStyleRowBandSize w:val="1"/>
      <w:tblStyleColBandSize w:val="1"/>
      <w:tblCellMar>
        <w:top w:w="100.0" w:type="dxa"/>
        <w:left w:w="100.0" w:type="dxa"/>
        <w:bottom w:w="100.0" w:type="dxa"/>
        <w:right w:w="100.0" w:type="dxa"/>
      </w:tblCellMar>
    </w:tblPr>
  </w:style>
  <w:style w:type="table" w:styleId="a3" w:customStyle="1">
    <w:basedOn w:val="TableNormal"/>
    <w:tblPr>
      <w:tblStyleRowBandSize w:val="1"/>
      <w:tblStyleColBandSize w:val="1"/>
      <w:tblCellMar>
        <w:top w:w="100.0" w:type="dxa"/>
        <w:left w:w="100.0" w:type="dxa"/>
        <w:bottom w:w="100.0" w:type="dxa"/>
        <w:right w:w="100.0" w:type="dxa"/>
      </w:tblCellMar>
    </w:tblPr>
  </w:style>
  <w:style w:type="table" w:styleId="a4" w:customStyle="1">
    <w:basedOn w:val="TableNormal"/>
    <w:tblPr>
      <w:tblStyleRowBandSize w:val="1"/>
      <w:tblStyleColBandSize w:val="1"/>
      <w:tblCellMar>
        <w:top w:w="100.0" w:type="dxa"/>
        <w:left w:w="100.0" w:type="dxa"/>
        <w:bottom w:w="100.0" w:type="dxa"/>
        <w:right w:w="100.0" w:type="dxa"/>
      </w:tblCellMar>
    </w:tblPr>
  </w:style>
  <w:style w:type="table" w:styleId="a5" w:customStyle="1">
    <w:basedOn w:val="TableNormal"/>
    <w:tblPr>
      <w:tblStyleRowBandSize w:val="1"/>
      <w:tblStyleColBandSize w:val="1"/>
      <w:tblCellMar>
        <w:top w:w="100.0" w:type="dxa"/>
        <w:left w:w="100.0" w:type="dxa"/>
        <w:bottom w:w="100.0" w:type="dxa"/>
        <w:right w:w="100.0" w:type="dxa"/>
      </w:tblCellMar>
    </w:tblPr>
  </w:style>
  <w:style w:type="table" w:styleId="a6" w:customStyle="1">
    <w:basedOn w:val="TableNormal"/>
    <w:tblPr>
      <w:tblStyleRowBandSize w:val="1"/>
      <w:tblStyleColBandSize w:val="1"/>
      <w:tblCellMar>
        <w:top w:w="100.0" w:type="dxa"/>
        <w:left w:w="100.0" w:type="dxa"/>
        <w:bottom w:w="100.0" w:type="dxa"/>
        <w:right w:w="100.0" w:type="dxa"/>
      </w:tblCellMar>
    </w:tblPr>
  </w:style>
  <w:style w:type="table" w:styleId="a7" w:customStyle="1">
    <w:basedOn w:val="TableNormal"/>
    <w:tblPr>
      <w:tblStyleRowBandSize w:val="1"/>
      <w:tblStyleColBandSize w:val="1"/>
      <w:tblCellMar>
        <w:top w:w="100.0" w:type="dxa"/>
        <w:left w:w="100.0" w:type="dxa"/>
        <w:bottom w:w="100.0" w:type="dxa"/>
        <w:right w:w="100.0" w:type="dxa"/>
      </w:tblCellMar>
    </w:tblPr>
  </w:style>
  <w:style w:type="table" w:styleId="a8" w:customStyle="1">
    <w:basedOn w:val="TableNormal"/>
    <w:tblPr>
      <w:tblStyleRowBandSize w:val="1"/>
      <w:tblStyleColBandSize w:val="1"/>
      <w:tblCellMar>
        <w:top w:w="100.0" w:type="dxa"/>
        <w:left w:w="100.0" w:type="dxa"/>
        <w:bottom w:w="100.0" w:type="dxa"/>
        <w:right w:w="100.0" w:type="dxa"/>
      </w:tblCellMar>
    </w:tblPr>
  </w:style>
  <w:style w:type="table" w:styleId="a9" w:customStyle="1">
    <w:basedOn w:val="TableNormal"/>
    <w:tblPr>
      <w:tblStyleRowBandSize w:val="1"/>
      <w:tblStyleColBandSize w:val="1"/>
      <w:tblCellMar>
        <w:top w:w="100.0" w:type="dxa"/>
        <w:left w:w="100.0" w:type="dxa"/>
        <w:bottom w:w="100.0" w:type="dxa"/>
        <w:right w:w="100.0" w:type="dxa"/>
      </w:tblCellMar>
    </w:tblPr>
  </w:style>
  <w:style w:type="table" w:styleId="aa" w:customStyle="1">
    <w:basedOn w:val="TableNormal"/>
    <w:tblPr>
      <w:tblStyleRowBandSize w:val="1"/>
      <w:tblStyleColBandSize w:val="1"/>
      <w:tblCellMar>
        <w:top w:w="100.0" w:type="dxa"/>
        <w:left w:w="100.0" w:type="dxa"/>
        <w:bottom w:w="100.0" w:type="dxa"/>
        <w:right w:w="100.0" w:type="dxa"/>
      </w:tblCellMar>
    </w:tblPr>
  </w:style>
  <w:style w:type="table" w:styleId="ab" w:customStyle="1">
    <w:basedOn w:val="TableNormal"/>
    <w:tblPr>
      <w:tblStyleRowBandSize w:val="1"/>
      <w:tblStyleColBandSize w:val="1"/>
      <w:tblCellMar>
        <w:top w:w="100.0" w:type="dxa"/>
        <w:left w:w="100.0" w:type="dxa"/>
        <w:bottom w:w="100.0" w:type="dxa"/>
        <w:right w:w="100.0" w:type="dxa"/>
      </w:tblCellMar>
    </w:tblPr>
  </w:style>
  <w:style w:type="table" w:styleId="ac" w:customStyle="1">
    <w:basedOn w:val="TableNormal"/>
    <w:tblPr>
      <w:tblStyleRowBandSize w:val="1"/>
      <w:tblStyleColBandSize w:val="1"/>
      <w:tblCellMar>
        <w:top w:w="100.0" w:type="dxa"/>
        <w:left w:w="100.0" w:type="dxa"/>
        <w:bottom w:w="100.0" w:type="dxa"/>
        <w:right w:w="100.0" w:type="dxa"/>
      </w:tblCellMar>
    </w:tblPr>
  </w:style>
  <w:style w:type="table" w:styleId="ad" w:customStyle="1">
    <w:basedOn w:val="TableNormal"/>
    <w:tblPr>
      <w:tblStyleRowBandSize w:val="1"/>
      <w:tblStyleColBandSize w:val="1"/>
      <w:tblCellMar>
        <w:top w:w="100.0" w:type="dxa"/>
        <w:left w:w="100.0" w:type="dxa"/>
        <w:bottom w:w="100.0" w:type="dxa"/>
        <w:right w:w="100.0" w:type="dxa"/>
      </w:tblCellMar>
    </w:tblPr>
  </w:style>
  <w:style w:type="table" w:styleId="ae" w:customStyle="1">
    <w:basedOn w:val="TableNormal"/>
    <w:tblPr>
      <w:tblStyleRowBandSize w:val="1"/>
      <w:tblStyleColBandSize w:val="1"/>
      <w:tblCellMar>
        <w:top w:w="100.0" w:type="dxa"/>
        <w:left w:w="100.0" w:type="dxa"/>
        <w:bottom w:w="100.0" w:type="dxa"/>
        <w:right w:w="100.0" w:type="dxa"/>
      </w:tblCellMar>
    </w:tblPr>
  </w:style>
  <w:style w:type="table" w:styleId="af" w:customStyle="1">
    <w:basedOn w:val="TableNormal"/>
    <w:tblPr>
      <w:tblStyleRowBandSize w:val="1"/>
      <w:tblStyleColBandSize w:val="1"/>
      <w:tblCellMar>
        <w:top w:w="100.0" w:type="dxa"/>
        <w:left w:w="100.0" w:type="dxa"/>
        <w:bottom w:w="100.0" w:type="dxa"/>
        <w:right w:w="100.0" w:type="dxa"/>
      </w:tblCellMar>
    </w:tblPr>
  </w:style>
  <w:style w:type="table" w:styleId="af0" w:customStyle="1">
    <w:basedOn w:val="TableNormal"/>
    <w:tblPr>
      <w:tblStyleRowBandSize w:val="1"/>
      <w:tblStyleColBandSize w:val="1"/>
      <w:tblCellMar>
        <w:top w:w="100.0" w:type="dxa"/>
        <w:left w:w="100.0" w:type="dxa"/>
        <w:bottom w:w="100.0" w:type="dxa"/>
        <w:right w:w="100.0" w:type="dxa"/>
      </w:tblCellMar>
    </w:tblPr>
  </w:style>
  <w:style w:type="table" w:styleId="af1" w:customStyle="1">
    <w:basedOn w:val="TableNormal"/>
    <w:tblPr>
      <w:tblStyleRowBandSize w:val="1"/>
      <w:tblStyleColBandSize w:val="1"/>
      <w:tblCellMar>
        <w:top w:w="100.0" w:type="dxa"/>
        <w:left w:w="100.0" w:type="dxa"/>
        <w:bottom w:w="100.0" w:type="dxa"/>
        <w:right w:w="100.0" w:type="dxa"/>
      </w:tblCellMar>
    </w:tblPr>
  </w:style>
  <w:style w:type="table" w:styleId="af2" w:customStyle="1">
    <w:basedOn w:val="TableNormal"/>
    <w:tblPr>
      <w:tblStyleRowBandSize w:val="1"/>
      <w:tblStyleColBandSize w:val="1"/>
      <w:tblCellMar>
        <w:top w:w="100.0" w:type="dxa"/>
        <w:left w:w="100.0" w:type="dxa"/>
        <w:bottom w:w="100.0" w:type="dxa"/>
        <w:right w:w="100.0" w:type="dxa"/>
      </w:tblCellMar>
    </w:tblPr>
  </w:style>
  <w:style w:type="table" w:styleId="af3" w:customStyle="1">
    <w:basedOn w:val="TableNormal"/>
    <w:tblPr>
      <w:tblStyleRowBandSize w:val="1"/>
      <w:tblStyleColBandSize w:val="1"/>
      <w:tblCellMar>
        <w:top w:w="100.0" w:type="dxa"/>
        <w:left w:w="100.0" w:type="dxa"/>
        <w:bottom w:w="100.0" w:type="dxa"/>
        <w:right w:w="100.0" w:type="dxa"/>
      </w:tblCellMar>
    </w:tblPr>
  </w:style>
  <w:style w:type="table" w:styleId="af4" w:customStyle="1">
    <w:basedOn w:val="TableNormal"/>
    <w:tblPr>
      <w:tblStyleRowBandSize w:val="1"/>
      <w:tblStyleColBandSize w:val="1"/>
      <w:tblCellMar>
        <w:top w:w="100.0" w:type="dxa"/>
        <w:left w:w="100.0" w:type="dxa"/>
        <w:bottom w:w="100.0" w:type="dxa"/>
        <w:right w:w="100.0" w:type="dxa"/>
      </w:tblCellMar>
    </w:tblPr>
  </w:style>
  <w:style w:type="table" w:styleId="af5" w:customStyle="1">
    <w:basedOn w:val="TableNormal"/>
    <w:tblPr>
      <w:tblStyleRowBandSize w:val="1"/>
      <w:tblStyleColBandSize w:val="1"/>
      <w:tblCellMar>
        <w:top w:w="100.0" w:type="dxa"/>
        <w:left w:w="100.0" w:type="dxa"/>
        <w:bottom w:w="100.0" w:type="dxa"/>
        <w:right w:w="100.0" w:type="dxa"/>
      </w:tblCellMar>
    </w:tblPr>
  </w:style>
  <w:style w:type="table" w:styleId="af6" w:customStyle="1">
    <w:basedOn w:val="TableNormal"/>
    <w:tblPr>
      <w:tblStyleRowBandSize w:val="1"/>
      <w:tblStyleColBandSize w:val="1"/>
      <w:tblCellMar>
        <w:top w:w="100.0" w:type="dxa"/>
        <w:left w:w="100.0" w:type="dxa"/>
        <w:bottom w:w="100.0" w:type="dxa"/>
        <w:right w:w="100.0" w:type="dxa"/>
      </w:tblCellMar>
    </w:tblPr>
  </w:style>
  <w:style w:type="table" w:styleId="af7" w:customStyle="1">
    <w:basedOn w:val="TableNormal"/>
    <w:tblPr>
      <w:tblStyleRowBandSize w:val="1"/>
      <w:tblStyleColBandSize w:val="1"/>
      <w:tblCellMar>
        <w:top w:w="100.0" w:type="dxa"/>
        <w:left w:w="100.0" w:type="dxa"/>
        <w:bottom w:w="100.0" w:type="dxa"/>
        <w:right w:w="100.0" w:type="dxa"/>
      </w:tblCellMar>
    </w:tblPr>
  </w:style>
  <w:style w:type="table" w:styleId="af8" w:customStyle="1">
    <w:basedOn w:val="TableNormal"/>
    <w:tblPr>
      <w:tblStyleRowBandSize w:val="1"/>
      <w:tblStyleColBandSize w:val="1"/>
      <w:tblCellMar>
        <w:top w:w="100.0" w:type="dxa"/>
        <w:left w:w="100.0" w:type="dxa"/>
        <w:bottom w:w="100.0" w:type="dxa"/>
        <w:right w:w="100.0" w:type="dxa"/>
      </w:tblCellMar>
    </w:tblPr>
  </w:style>
  <w:style w:type="table" w:styleId="af9" w:customStyle="1">
    <w:basedOn w:val="TableNormal"/>
    <w:tblPr>
      <w:tblStyleRowBandSize w:val="1"/>
      <w:tblStyleColBandSize w:val="1"/>
      <w:tblCellMar>
        <w:top w:w="100.0" w:type="dxa"/>
        <w:left w:w="100.0" w:type="dxa"/>
        <w:bottom w:w="100.0" w:type="dxa"/>
        <w:right w:w="100.0" w:type="dxa"/>
      </w:tblCellMar>
    </w:tblPr>
  </w:style>
  <w:style w:type="table" w:styleId="afa" w:customStyle="1">
    <w:basedOn w:val="TableNormal"/>
    <w:tblPr>
      <w:tblStyleRowBandSize w:val="1"/>
      <w:tblStyleColBandSize w:val="1"/>
      <w:tblCellMar>
        <w:top w:w="100.0" w:type="dxa"/>
        <w:left w:w="100.0" w:type="dxa"/>
        <w:bottom w:w="100.0" w:type="dxa"/>
        <w:right w:w="100.0" w:type="dxa"/>
      </w:tblCellMar>
    </w:tblPr>
  </w:style>
  <w:style w:type="table" w:styleId="afb" w:customStyle="1">
    <w:basedOn w:val="TableNormal"/>
    <w:tblPr>
      <w:tblStyleRowBandSize w:val="1"/>
      <w:tblStyleColBandSize w:val="1"/>
      <w:tblCellMar>
        <w:top w:w="100.0" w:type="dxa"/>
        <w:left w:w="100.0" w:type="dxa"/>
        <w:bottom w:w="100.0" w:type="dxa"/>
        <w:right w:w="100.0" w:type="dxa"/>
      </w:tblCellMar>
    </w:tblPr>
  </w:style>
  <w:style w:type="table" w:styleId="afc" w:customStyle="1">
    <w:basedOn w:val="TableNormal"/>
    <w:tblPr>
      <w:tblStyleRowBandSize w:val="1"/>
      <w:tblStyleColBandSize w:val="1"/>
      <w:tblCellMar>
        <w:top w:w="100.0" w:type="dxa"/>
        <w:left w:w="100.0" w:type="dxa"/>
        <w:bottom w:w="100.0" w:type="dxa"/>
        <w:right w:w="100.0" w:type="dxa"/>
      </w:tblCellMar>
    </w:tblPr>
  </w:style>
  <w:style w:type="table" w:styleId="afd" w:customStyle="1">
    <w:basedOn w:val="TableNormal"/>
    <w:tblPr>
      <w:tblStyleRowBandSize w:val="1"/>
      <w:tblStyleColBandSize w:val="1"/>
      <w:tblCellMar>
        <w:top w:w="100.0" w:type="dxa"/>
        <w:left w:w="100.0" w:type="dxa"/>
        <w:bottom w:w="100.0" w:type="dxa"/>
        <w:right w:w="100.0" w:type="dxa"/>
      </w:tblCellMar>
    </w:tblPr>
  </w:style>
  <w:style w:type="table" w:styleId="afe" w:customStyle="1">
    <w:basedOn w:val="TableNormal"/>
    <w:tblPr>
      <w:tblStyleRowBandSize w:val="1"/>
      <w:tblStyleColBandSize w:val="1"/>
      <w:tblCellMar>
        <w:top w:w="100.0" w:type="dxa"/>
        <w:left w:w="100.0" w:type="dxa"/>
        <w:bottom w:w="100.0" w:type="dxa"/>
        <w:right w:w="100.0" w:type="dxa"/>
      </w:tblCellMar>
    </w:tblPr>
  </w:style>
  <w:style w:type="table" w:styleId="aff" w:customStyle="1">
    <w:basedOn w:val="TableNormal"/>
    <w:tblPr>
      <w:tblStyleRowBandSize w:val="1"/>
      <w:tblStyleColBandSize w:val="1"/>
      <w:tblCellMar>
        <w:top w:w="100.0" w:type="dxa"/>
        <w:left w:w="100.0" w:type="dxa"/>
        <w:bottom w:w="100.0" w:type="dxa"/>
        <w:right w:w="100.0" w:type="dxa"/>
      </w:tblCellMar>
    </w:tblPr>
  </w:style>
  <w:style w:type="table" w:styleId="aff0" w:customStyle="1">
    <w:basedOn w:val="TableNormal"/>
    <w:tblPr>
      <w:tblStyleRowBandSize w:val="1"/>
      <w:tblStyleColBandSize w:val="1"/>
      <w:tblCellMar>
        <w:top w:w="100.0" w:type="dxa"/>
        <w:left w:w="100.0" w:type="dxa"/>
        <w:bottom w:w="100.0" w:type="dxa"/>
        <w:right w:w="100.0" w:type="dxa"/>
      </w:tblCellMar>
    </w:tblPr>
  </w:style>
  <w:style w:type="table" w:styleId="aff1" w:customStyle="1">
    <w:basedOn w:val="TableNormal"/>
    <w:tblPr>
      <w:tblStyleRowBandSize w:val="1"/>
      <w:tblStyleColBandSize w:val="1"/>
      <w:tblCellMar>
        <w:top w:w="100.0" w:type="dxa"/>
        <w:left w:w="100.0" w:type="dxa"/>
        <w:bottom w:w="100.0" w:type="dxa"/>
        <w:right w:w="100.0" w:type="dxa"/>
      </w:tblCellMar>
    </w:tblPr>
  </w:style>
  <w:style w:type="table" w:styleId="aff2" w:customStyle="1">
    <w:basedOn w:val="TableNormal"/>
    <w:tblPr>
      <w:tblStyleRowBandSize w:val="1"/>
      <w:tblStyleColBandSize w:val="1"/>
      <w:tblCellMar>
        <w:top w:w="100.0" w:type="dxa"/>
        <w:left w:w="100.0" w:type="dxa"/>
        <w:bottom w:w="100.0" w:type="dxa"/>
        <w:right w:w="100.0" w:type="dxa"/>
      </w:tblCellMar>
    </w:tblPr>
  </w:style>
  <w:style w:type="paragraph" w:styleId="ListParagraph">
    <w:name w:val="List Paragraph"/>
    <w:basedOn w:val="Normal"/>
    <w:uiPriority w:val="34"/>
    <w:qFormat w:val="1"/>
    <w:rsid w:val="00EB14D5"/>
    <w:pPr>
      <w:ind w:left="720"/>
      <w:contextualSpacing w:val="1"/>
    </w:pPr>
  </w:style>
  <w:style w:type="paragraph" w:styleId="Agreement" w:customStyle="1">
    <w:name w:val="Agreement"/>
    <w:basedOn w:val="Normal"/>
    <w:next w:val="Normal"/>
    <w:uiPriority w:val="99"/>
    <w:qFormat w:val="1"/>
    <w:rsid w:val="00EB14D5"/>
    <w:pPr>
      <w:numPr>
        <w:numId w:val="8"/>
      </w:numPr>
      <w:tabs>
        <w:tab w:val="num" w:pos="1619"/>
      </w:tabs>
      <w:overflowPunct w:val="0"/>
      <w:autoSpaceDE w:val="0"/>
      <w:autoSpaceDN w:val="0"/>
      <w:adjustRightInd w:val="0"/>
      <w:spacing w:before="60" w:line="240" w:lineRule="auto"/>
      <w:ind w:left="1616" w:hanging="357"/>
      <w:textAlignment w:val="baseline"/>
    </w:pPr>
    <w:rPr>
      <w:rFonts w:cs="Times New Roman" w:eastAsia="Times New Roman"/>
      <w:b w:val="1"/>
      <w:sz w:val="20"/>
      <w:szCs w:val="20"/>
      <w:lang w:eastAsia="ja-JP"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26D2"/>
    <w:pPr>
      <w:tabs>
        <w:tab w:val="center" w:pos="4536"/>
        <w:tab w:val="right" w:pos="9072"/>
      </w:tabs>
      <w:spacing w:line="240" w:lineRule="auto"/>
    </w:pPr>
    <w:rPr>
      <w:rFonts w:cs="Times New Roman" w:eastAsia="MS Mincho"/>
      <w:b w:val="1"/>
      <w:sz w:val="20"/>
      <w:szCs w:val="20"/>
      <w:lang w:val="en-US"/>
    </w:rPr>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B826D2"/>
    <w:rPr>
      <w:rFonts w:cs="Times New Roman" w:eastAsia="MS Mincho"/>
      <w:b w:val="1"/>
      <w:sz w:val="20"/>
      <w:szCs w:val="20"/>
      <w:lang w:val="en-US"/>
    </w:rPr>
  </w:style>
  <w:style w:type="paragraph" w:styleId="Proposal" w:customStyle="1">
    <w:name w:val="Proposal"/>
    <w:basedOn w:val="Normal"/>
    <w:link w:val="ProposalChar"/>
    <w:qFormat w:val="1"/>
    <w:rsid w:val="00C337A7"/>
    <w:pPr>
      <w:overflowPunct w:val="0"/>
      <w:autoSpaceDE w:val="0"/>
      <w:autoSpaceDN w:val="0"/>
      <w:adjustRightInd w:val="0"/>
      <w:spacing w:after="180" w:line="240" w:lineRule="auto"/>
      <w:jc w:val="both"/>
    </w:pPr>
    <w:rPr>
      <w:rFonts w:ascii="Times New Roman" w:cs="Times New Roman" w:eastAsia="SimSun" w:hAnsi="Times New Roman"/>
      <w:sz w:val="20"/>
      <w:szCs w:val="20"/>
      <w:lang w:eastAsia="x-none" w:val="en-GB"/>
    </w:rPr>
  </w:style>
  <w:style w:type="character" w:styleId="ProposalChar" w:customStyle="1">
    <w:name w:val="Proposal Char"/>
    <w:link w:val="Proposal"/>
    <w:rsid w:val="00C337A7"/>
    <w:rPr>
      <w:rFonts w:ascii="Times New Roman" w:cs="Times New Roman" w:eastAsia="SimSun" w:hAnsi="Times New Roman"/>
      <w:sz w:val="20"/>
      <w:szCs w:val="20"/>
      <w:lang w:eastAsia="x-none" w:val="en-GB"/>
    </w:rPr>
  </w:style>
  <w:style w:type="character" w:styleId="BodyTextChar" w:customStyle="1">
    <w:name w:val="Body Text Char"/>
    <w:link w:val="BodyText"/>
    <w:rsid w:val="00EB2A8A"/>
    <w:rPr>
      <w:lang w:val="en-GB"/>
    </w:rPr>
  </w:style>
  <w:style w:type="paragraph" w:styleId="BodyText">
    <w:name w:val="Body Text"/>
    <w:basedOn w:val="Normal"/>
    <w:link w:val="BodyTextChar"/>
    <w:rsid w:val="00EB2A8A"/>
    <w:pPr>
      <w:pBdr>
        <w:top w:color="000000" w:space="0" w:sz="4" w:val="none"/>
        <w:left w:color="000000" w:space="0" w:sz="4" w:val="none"/>
        <w:bottom w:color="000000" w:space="0" w:sz="4" w:val="none"/>
        <w:right w:color="000000" w:space="0" w:sz="4" w:val="none"/>
        <w:between w:color="000000" w:space="0" w:sz="4" w:val="none"/>
      </w:pBdr>
      <w:spacing w:after="120" w:line="240" w:lineRule="auto"/>
      <w:jc w:val="both"/>
    </w:pPr>
    <w:rPr>
      <w:lang w:val="en-GB"/>
    </w:rPr>
  </w:style>
  <w:style w:type="character" w:styleId="BodyTextChar1" w:customStyle="1">
    <w:name w:val="Body Text Char1"/>
    <w:basedOn w:val="DefaultParagraphFont"/>
    <w:uiPriority w:val="99"/>
    <w:semiHidden w:val="1"/>
    <w:rsid w:val="00EB2A8A"/>
  </w:style>
  <w:style w:type="paragraph" w:styleId="3GPPHeader" w:customStyle="1">
    <w:name w:val="3GPP_Header"/>
    <w:basedOn w:val="Normal"/>
    <w:rsid w:val="00633962"/>
    <w:pPr>
      <w:tabs>
        <w:tab w:val="left" w:pos="1701"/>
        <w:tab w:val="right" w:pos="9639"/>
      </w:tabs>
      <w:overflowPunct w:val="0"/>
      <w:autoSpaceDE w:val="0"/>
      <w:autoSpaceDN w:val="0"/>
      <w:adjustRightInd w:val="0"/>
      <w:spacing w:after="240" w:line="240" w:lineRule="auto"/>
      <w:jc w:val="both"/>
    </w:pPr>
    <w:rPr>
      <w:rFonts w:cs="Times New Roman" w:eastAsia="Times New Roman"/>
      <w:b w:val="1"/>
      <w:sz w:val="24"/>
      <w:szCs w:val="20"/>
      <w:lang w:eastAsia="zh-CN" w:val="en-GB"/>
    </w:rPr>
  </w:style>
  <w:style w:type="table" w:styleId="TableGrid">
    <w:name w:val="Table Grid"/>
    <w:basedOn w:val="TableNormal"/>
    <w:uiPriority w:val="39"/>
    <w:rsid w:val="000F3605"/>
    <w:pPr>
      <w:spacing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line="240" w:lineRule="auto"/>
    </w:p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line="240" w:lineRule="auto"/>
    </w:p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line="240" w:lineRule="auto"/>
    </w:p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line="240" w:lineRule="auto"/>
    </w:p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3ERC2cuND7yFSe0tMibhO2mTimQ==">CgMxLjAyCWguMWZvYjl0ZTIJaC4zem55c2g3MgloLjRkMzRvZzgyCWguMmV0OTJwMDgAciExakRZd3FEclNqczIxb0NxZTAxNTBJQ0F3UVplTHQwMHo=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2024-04-04T08:57:00Z</dcterms:created>
  <dc:creator>liwenyu@meta.com</dc:creator>
</cp:coreProperties>
</file>